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60" w:rsidRDefault="00DD1660" w:rsidP="00DD54DB">
      <w:pPr>
        <w:pStyle w:val="newncpi0"/>
        <w:spacing w:before="0" w:after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DD1660" w:rsidRDefault="00DD1660" w:rsidP="00DD54DB">
      <w:pPr>
        <w:pStyle w:val="newncpi0"/>
        <w:spacing w:before="0" w:after="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DD1660" w:rsidRDefault="00DD1660" w:rsidP="00DD54DB">
      <w:pPr>
        <w:pStyle w:val="newncpi"/>
        <w:spacing w:before="0" w:after="0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31</w:t>
      </w:r>
      <w:r>
        <w:rPr>
          <w:rStyle w:val="datepr"/>
          <w:color w:val="000000"/>
        </w:rPr>
        <w:t xml:space="preserve"> марта </w:t>
      </w:r>
      <w:r>
        <w:rPr>
          <w:rStyle w:val="HTML"/>
          <w:i/>
          <w:iCs/>
          <w:shd w:val="clear" w:color="auto" w:fill="FFFFFF"/>
        </w:rPr>
        <w:t>2018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240</w:t>
      </w:r>
    </w:p>
    <w:p w:rsidR="00DD1660" w:rsidRDefault="00DD1660" w:rsidP="00DD54DB">
      <w:pPr>
        <w:pStyle w:val="titlencpi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DD1660" w:rsidRDefault="00DD1660" w:rsidP="00DD54DB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8 декабря </w:t>
      </w:r>
      <w:r>
        <w:rPr>
          <w:rStyle w:val="HTML"/>
          <w:shd w:val="clear" w:color="auto" w:fill="FFFFFF"/>
        </w:rPr>
        <w:t>2018</w:t>
      </w:r>
      <w:r>
        <w:rPr>
          <w:color w:val="000000"/>
        </w:rPr>
        <w:t> г. № 881 (Национальный правовой Интернет-портал Республики Беларусь, 13.12.</w:t>
      </w:r>
      <w:r>
        <w:rPr>
          <w:rStyle w:val="HTML"/>
          <w:shd w:val="clear" w:color="auto" w:fill="FFFFFF"/>
        </w:rPr>
        <w:t>2018</w:t>
      </w:r>
      <w:r>
        <w:rPr>
          <w:color w:val="000000"/>
        </w:rPr>
        <w:t>, 5/45902);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25 февраля 2019 г. № 117 (Национальный правовой Интернет-портал Республики Беларусь, 01.</w:t>
      </w:r>
      <w:r>
        <w:rPr>
          <w:rStyle w:val="HTML"/>
          <w:shd w:val="clear" w:color="auto" w:fill="FFFFFF"/>
        </w:rPr>
        <w:t>03</w:t>
      </w:r>
      <w:r>
        <w:rPr>
          <w:color w:val="000000"/>
        </w:rPr>
        <w:t>.2019, 5/46193);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</w:t>
      </w:r>
      <w:r>
        <w:rPr>
          <w:color w:val="000000"/>
        </w:rPr>
        <w:lastRenderedPageBreak/>
        <w:t>26 января 2024 г., 1 февраля 2024 г., 1 марта 2024 г., 1 апреля 2024 г., 1 мая 2024 г. и 1 августа 2024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 и 1 апреля 2025 г.;</w:t>
      </w:r>
    </w:p>
    <w:p w:rsidR="00DD1660" w:rsidRDefault="00DD1660" w:rsidP="00DD54DB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preamble"/>
        <w:spacing w:before="0" w:after="0"/>
        <w:rPr>
          <w:color w:val="000000"/>
        </w:rPr>
      </w:pPr>
      <w:r>
        <w:rPr>
          <w:color w:val="000000"/>
        </w:rP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2" w:name="a10"/>
      <w:bookmarkEnd w:id="2"/>
      <w:r>
        <w:rPr>
          <w:color w:val="000000"/>
        </w:rP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DD16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1660" w:rsidRDefault="00DD1660" w:rsidP="00DD54DB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1660" w:rsidRDefault="00DD1660" w:rsidP="00DD54DB">
            <w:pPr>
              <w:pStyle w:val="newncpi0"/>
              <w:spacing w:before="0" w:after="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DD166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capu1"/>
              <w:spacing w:after="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D1660" w:rsidRDefault="00DD1660" w:rsidP="00DD54D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 240</w:t>
            </w:r>
          </w:p>
        </w:tc>
      </w:tr>
    </w:tbl>
    <w:p w:rsidR="00DD1660" w:rsidRDefault="00DD1660" w:rsidP="00DD54DB">
      <w:pPr>
        <w:pStyle w:val="titleu"/>
        <w:spacing w:before="0" w:after="0"/>
        <w:rPr>
          <w:color w:val="000000"/>
        </w:rPr>
      </w:pPr>
      <w:bookmarkStart w:id="3" w:name="a2"/>
      <w:bookmarkEnd w:id="3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4" w:name="a34"/>
      <w:bookmarkEnd w:id="4"/>
      <w:r>
        <w:rPr>
          <w:color w:val="000000"/>
        </w:rP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5" w:name="a38"/>
      <w:bookmarkEnd w:id="5"/>
      <w:r>
        <w:rPr>
          <w:color w:val="000000"/>
        </w:rPr>
        <w:lastRenderedPageBreak/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>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6" w:name="a36"/>
      <w:bookmarkEnd w:id="6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проведения иных мероприятий в рамках реализации Декрета Президента Республики Беларусь от 2 апреля 2015 г. № 3.</w:t>
      </w:r>
    </w:p>
    <w:p w:rsidR="00DD1660" w:rsidRDefault="00DD1660" w:rsidP="00DD54D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D1660" w:rsidRDefault="00DD1660" w:rsidP="00DD54DB">
      <w:pPr>
        <w:pStyle w:val="snoski"/>
        <w:spacing w:before="0" w:after="0"/>
        <w:rPr>
          <w:color w:val="000000"/>
        </w:rPr>
      </w:pPr>
      <w:bookmarkStart w:id="8" w:name="a4"/>
      <w:bookmarkEnd w:id="8"/>
      <w:r>
        <w:rPr>
          <w:color w:val="000000"/>
        </w:rP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дети, в том числе усыновленные, удочеренные, дед, бабка, внуки, прадед, прабабка, правнуки супруга (супруги).</w:t>
      </w:r>
    </w:p>
    <w:p w:rsidR="00DD1660" w:rsidRDefault="00DD1660" w:rsidP="00DD54DB">
      <w:pPr>
        <w:pStyle w:val="snoski"/>
        <w:spacing w:before="0" w:after="0"/>
        <w:rPr>
          <w:color w:val="000000"/>
        </w:rPr>
      </w:pPr>
      <w:bookmarkStart w:id="9" w:name="a46"/>
      <w:bookmarkEnd w:id="9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реализации возложенных задач комиссия имеет право: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собственности;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DD1660" w:rsidRDefault="00DD1660" w:rsidP="00DD54D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D1660" w:rsidRDefault="00DD1660" w:rsidP="00DD54DB">
      <w:pPr>
        <w:pStyle w:val="snoski"/>
        <w:spacing w:before="0" w:after="0"/>
        <w:rPr>
          <w:color w:val="000000"/>
        </w:rPr>
      </w:pPr>
      <w:bookmarkStart w:id="13" w:name="a49"/>
      <w:bookmarkEnd w:id="13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DD1660" w:rsidRDefault="00DD1660" w:rsidP="00DD54DB">
      <w:pPr>
        <w:pStyle w:val="snoski"/>
        <w:spacing w:before="0" w:after="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 комиссии.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Председатель комиссии: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период отсутствия председателя комиссии его обязанности выполняет заместитель председателя комиссии.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относящимся к деятельности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ведет делопроизводство в комиссии;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13. В протоколе заседания комиссии указываются: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17. Исключен.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18. Исключен.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19" w:name="a27"/>
      <w:bookmarkEnd w:id="19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22" w:name="a41"/>
      <w:bookmarkEnd w:id="22"/>
      <w:r>
        <w:rPr>
          <w:color w:val="00000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23" w:name="a42"/>
      <w:bookmarkEnd w:id="23"/>
      <w:r>
        <w:rPr>
          <w:color w:val="00000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bookmarkStart w:id="27" w:name="a14"/>
      <w:bookmarkEnd w:id="27"/>
      <w:r>
        <w:rPr>
          <w:color w:val="000000"/>
        </w:rP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DD1660" w:rsidRDefault="00DD1660" w:rsidP="00DD54DB">
      <w:pPr>
        <w:pStyle w:val="point"/>
        <w:spacing w:before="0" w:after="0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4B0113" w:rsidRDefault="004B0113" w:rsidP="00DD54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4B0113" w:rsidRDefault="004B0113" w:rsidP="00DD54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  <w:sectPr w:rsidR="004B0113" w:rsidSect="00BB35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DD166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append1"/>
              <w:spacing w:after="0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DD1660" w:rsidRDefault="00DD1660" w:rsidP="00DD54D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DD1660" w:rsidRDefault="00DD1660" w:rsidP="00DD54DB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onestring"/>
        <w:spacing w:before="0" w:after="0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newncpi0"/>
        <w:spacing w:before="0" w:after="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DD1660" w:rsidRDefault="00DD1660" w:rsidP="00DD54DB">
      <w:pPr>
        <w:pStyle w:val="newncpi0"/>
        <w:spacing w:before="0" w:after="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DD1660" w:rsidRDefault="00DD1660" w:rsidP="00DD54DB">
      <w:pPr>
        <w:pStyle w:val="titlep"/>
        <w:spacing w:before="0" w:after="0"/>
        <w:rPr>
          <w:color w:val="000000"/>
        </w:rPr>
      </w:pPr>
      <w:r>
        <w:rPr>
          <w:color w:val="000000"/>
        </w:rPr>
        <w:t>ЗАЯВЛЕНИЕ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DD1660" w:rsidRDefault="00DD1660" w:rsidP="00DD54DB">
      <w:pPr>
        <w:pStyle w:val="undline"/>
        <w:spacing w:before="0" w:after="0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освободить меня (члена моей семьи) __________________________________</w:t>
      </w:r>
    </w:p>
    <w:p w:rsidR="00DD1660" w:rsidRDefault="00DD1660" w:rsidP="00DD54DB">
      <w:pPr>
        <w:pStyle w:val="undline"/>
        <w:spacing w:before="0" w:after="0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Член семьи: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DD1660" w:rsidRDefault="00DD1660" w:rsidP="00DD54DB">
      <w:pPr>
        <w:pStyle w:val="undline"/>
        <w:spacing w:before="0" w:after="0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Приложение: _________________________________________________________________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3693"/>
      </w:tblGrid>
      <w:tr w:rsidR="00DD166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DD166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undline"/>
              <w:spacing w:before="0" w:after="0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Секретарь, работник,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54"/>
      </w:tblGrid>
      <w:tr w:rsidR="00DD166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DD166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undline"/>
              <w:spacing w:before="0" w:after="0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undline"/>
              <w:spacing w:before="0" w:after="0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D1660" w:rsidRDefault="00DD1660" w:rsidP="00DD54DB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2804"/>
      </w:tblGrid>
      <w:tr w:rsidR="00DD166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append1"/>
              <w:spacing w:after="0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DD1660" w:rsidRDefault="00DD1660" w:rsidP="00DD54D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DD1660" w:rsidRDefault="00DD1660" w:rsidP="00DD54DB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DD1660" w:rsidRDefault="00DD1660" w:rsidP="00DD54DB">
      <w:pPr>
        <w:pStyle w:val="titlep"/>
        <w:spacing w:before="0" w:after="0"/>
        <w:rPr>
          <w:color w:val="000000"/>
        </w:rPr>
      </w:pPr>
      <w:r>
        <w:rPr>
          <w:color w:val="000000"/>
        </w:rPr>
        <w:t>ЗАПРОС</w:t>
      </w:r>
    </w:p>
    <w:p w:rsidR="00DD1660" w:rsidRDefault="00DD1660" w:rsidP="00DD54DB">
      <w:pPr>
        <w:pStyle w:val="newncpi0"/>
        <w:spacing w:before="0" w:after="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DD1660" w:rsidRDefault="00DD1660" w:rsidP="00DD54DB">
      <w:pPr>
        <w:pStyle w:val="newncpi0"/>
        <w:spacing w:before="0" w:after="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DD1660" w:rsidRDefault="00DD1660" w:rsidP="00DD54DB">
      <w:pPr>
        <w:pStyle w:val="newncpi0"/>
        <w:spacing w:before="0" w:after="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DD1660" w:rsidRDefault="00DD1660" w:rsidP="00DD54DB">
      <w:pPr>
        <w:pStyle w:val="newncpi0"/>
        <w:spacing w:before="0" w:after="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DD1660" w:rsidRDefault="00DD1660" w:rsidP="00DD54DB">
      <w:pPr>
        <w:pStyle w:val="newncpi0"/>
        <w:spacing w:before="0" w:after="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DD1660" w:rsidRDefault="00DD1660" w:rsidP="00DD54DB">
      <w:pPr>
        <w:pStyle w:val="undline"/>
        <w:spacing w:before="0" w:after="0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кем выдан)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DD1660" w:rsidRDefault="00DD1660" w:rsidP="00DD54DB">
      <w:pPr>
        <w:pStyle w:val="undline"/>
        <w:spacing w:before="0" w:after="0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трудоспособного члена семьи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D1660" w:rsidRDefault="00DD1660" w:rsidP="00DD54D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DD1660" w:rsidRDefault="00DD1660" w:rsidP="00DD54DB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(дата подачи заявления)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1"/>
        <w:gridCol w:w="1162"/>
        <w:gridCol w:w="266"/>
        <w:gridCol w:w="5425"/>
      </w:tblGrid>
      <w:tr w:rsidR="00DD166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166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1660" w:rsidRDefault="00DD1660" w:rsidP="00DD54DB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</w:t>
      </w:r>
    </w:p>
    <w:p w:rsidR="00DD1660" w:rsidRDefault="00DD1660" w:rsidP="00DD54DB">
      <w:pPr>
        <w:pStyle w:val="undline"/>
        <w:spacing w:before="0" w:after="0"/>
        <w:ind w:left="1302"/>
        <w:rPr>
          <w:color w:val="000000"/>
        </w:rPr>
      </w:pPr>
      <w:r>
        <w:rPr>
          <w:color w:val="000000"/>
        </w:rPr>
        <w:t>(дата)</w:t>
      </w:r>
    </w:p>
    <w:p w:rsidR="00DD1660" w:rsidRDefault="00DD1660" w:rsidP="00DD54DB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DD1660" w:rsidRDefault="00DD1660" w:rsidP="00DD54DB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sectPr w:rsidR="00DD1660" w:rsidSect="00DD54DB">
      <w:pgSz w:w="12240" w:h="15840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60"/>
    <w:rsid w:val="003905E9"/>
    <w:rsid w:val="004B0113"/>
    <w:rsid w:val="00615498"/>
    <w:rsid w:val="0069463F"/>
    <w:rsid w:val="00DD1660"/>
    <w:rsid w:val="00D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D0880-D7CB-4B21-8C0D-21E5BB28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DD1660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DD1660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DD166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DD1660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DD1660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DD166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DD166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DD166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DD166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DD166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D166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DD1660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DD1660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DD1660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DD166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DD1660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DD166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D166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D1660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D166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DD166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D166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DD166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DD166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DD166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DD166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DD166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Чигирь Лариса Вячеславовна</dc:creator>
  <cp:lastModifiedBy>User</cp:lastModifiedBy>
  <cp:revision>2</cp:revision>
  <dcterms:created xsi:type="dcterms:W3CDTF">2025-09-23T13:27:00Z</dcterms:created>
  <dcterms:modified xsi:type="dcterms:W3CDTF">2025-09-23T13:27:00Z</dcterms:modified>
</cp:coreProperties>
</file>