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CC" w:rsidRPr="001C2DA9" w:rsidRDefault="009816CC" w:rsidP="001C2DA9">
      <w:pPr>
        <w:tabs>
          <w:tab w:val="left" w:pos="4494"/>
        </w:tabs>
        <w:spacing w:line="280" w:lineRule="exact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1C2DA9">
        <w:rPr>
          <w:rFonts w:ascii="Times New Roman" w:hAnsi="Times New Roman" w:cs="Times New Roman"/>
          <w:b/>
          <w:bCs/>
          <w:sz w:val="34"/>
          <w:szCs w:val="34"/>
        </w:rPr>
        <w:t>ПЕРЕЧЕНЬ</w:t>
      </w:r>
      <w:r w:rsidRPr="001C2DA9">
        <w:rPr>
          <w:rFonts w:ascii="Times New Roman" w:hAnsi="Times New Roman" w:cs="Times New Roman"/>
          <w:b/>
          <w:sz w:val="34"/>
          <w:szCs w:val="34"/>
        </w:rPr>
        <w:br/>
      </w:r>
      <w:r w:rsidRPr="001C2DA9">
        <w:rPr>
          <w:rFonts w:ascii="Times New Roman" w:hAnsi="Times New Roman" w:cs="Times New Roman"/>
          <w:b/>
          <w:bCs/>
          <w:sz w:val="34"/>
          <w:szCs w:val="34"/>
        </w:rPr>
        <w:t>административных процедур, по которому прием заявлений граждан, направление запросов и выдача итоговых решений, осуществляется службой «одно окно» райисполкома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1456"/>
        <w:gridCol w:w="14546"/>
      </w:tblGrid>
      <w:tr w:rsidR="009816CC" w:rsidRPr="001C2DA9" w:rsidTr="00493D51">
        <w:tc>
          <w:tcPr>
            <w:tcW w:w="5000" w:type="pct"/>
            <w:gridSpan w:val="2"/>
            <w:tcBorders>
              <w:bottom w:val="single" w:sz="5" w:space="0" w:color="000000"/>
            </w:tcBorders>
          </w:tcPr>
          <w:p w:rsidR="009816CC" w:rsidRPr="001C2DA9" w:rsidRDefault="009816CC" w:rsidP="001C2DA9">
            <w:pPr>
              <w:tabs>
                <w:tab w:val="left" w:pos="449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b/>
                <w:sz w:val="34"/>
                <w:szCs w:val="34"/>
              </w:rPr>
              <w:t>Номер и наименование административных процедур в соответствии с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 «Об административных процедурах, осуществляемых государственными органами и иными организациями по заявлениям граждан»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1.1.2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разрешении отчуждения одноквартирного жилого дома, квартиры в многоквартирном или блокированном жилом доме (далее – жилое помещение), а также объекта недвижимости, образованного в результате его раздела или слияния, незавершенного законсервированного капитального строения, долей в праве собственности на указанные объекты, построенные (реконструированные) или приобретенные с использованием льготного кредита либо построенные (реконструированные) с использованием субсидии на уплату части процентов за пользование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 (купля-продажа, дарение, мена либо иная сделка об отчуждении в течение пяти лет со дня досрочного погашения этих кредитов, но не более периода, оставшегося до наступления срока их полного погашения, установленного кредитными договорами, либо дарение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или мена до погашения этих кредитов), в случаях, когда необходимость получения такого разрешения предусмотрена законодательными актами, регулирующими вопросы предоставления гражданам государственной поддержки при строительстве (реконструкции) или приобретении жилых помещений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1.1.2</w:t>
            </w:r>
            <w:r w:rsidRPr="001C2DA9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разрешении раздела или изменении целевого назначения земельного участка, предоставленного гражданину для строительства и (или) обслуживания жилого дома как состоящему на учете нуждающихся в улучшении жилищных условий, до  истечения 5 лет со дня государственной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 или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вычленения из него (долей в праве собственности на указанные объекты), </w:t>
            </w:r>
            <w:r w:rsidRPr="001C2D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до истечения 5 лет со дня государственной регистрации жилого дома и (или) незавершенного законсервированного строения (после отказа местного исполнительного комитета от приобретения такого отчуждаемого участка и (или) объектов)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  <w:proofErr w:type="gramEnd"/>
          </w:p>
        </w:tc>
      </w:tr>
      <w:tr w:rsidR="009816CC" w:rsidRPr="001C2DA9" w:rsidTr="00493D51">
        <w:tc>
          <w:tcPr>
            <w:tcW w:w="455" w:type="pct"/>
            <w:tcBorders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1.1.2</w:t>
            </w:r>
            <w:r w:rsidRPr="001C2DA9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</w:t>
            </w:r>
          </w:p>
        </w:tc>
        <w:tc>
          <w:tcPr>
            <w:tcW w:w="4545" w:type="pct"/>
            <w:tcBorders>
              <w:lef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разрешении отчуждения 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1.1.2</w:t>
            </w:r>
            <w:r w:rsidRPr="001C2DA9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3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разрешении раздела или изменении целевого назначения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ведения личного подсобного хозяйства либо строительства (строительства и обслуживания) капитального строения (здания, сооружения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) (</w:t>
            </w: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до завершения его строительства), или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 до  получения правообладателем документов, удостоверяющих право на расположенные на этих участках капитальные строения (здания, сооружения) (за исключением случаев, предусмотренных в подпункте 1.1.2</w:t>
            </w:r>
            <w:r w:rsidRPr="001C2DA9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1</w:t>
            </w: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пункта 1.1 перечня), или о разрешении предоставления дополнительного земельного участка в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  <w:proofErr w:type="gramEnd"/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1.1.3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1726C3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Принятие решения </w:t>
            </w:r>
            <w:r w:rsidRPr="001C2DA9">
              <w:rPr>
                <w:rFonts w:ascii="Times New Roman" w:hAnsi="Times New Roman" w:cs="Times New Roman"/>
                <w:color w:val="000000"/>
                <w:sz w:val="34"/>
                <w:szCs w:val="34"/>
                <w:shd w:val="clear" w:color="auto" w:fill="FFFFFF"/>
              </w:rPr>
              <w:t xml:space="preserve">о даче согласия на отчуждение жилого помещения, в котором проживают </w:t>
            </w:r>
            <w:r w:rsidRPr="001C2DA9">
              <w:rPr>
                <w:rFonts w:ascii="Times New Roman" w:hAnsi="Times New Roman" w:cs="Times New Roman"/>
                <w:color w:val="000000"/>
                <w:sz w:val="34"/>
                <w:szCs w:val="34"/>
                <w:shd w:val="clear" w:color="auto" w:fill="FFFFFF"/>
              </w:rPr>
              <w:lastRenderedPageBreak/>
              <w:t>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</w:t>
            </w:r>
            <w:proofErr w:type="gramEnd"/>
            <w:r w:rsidRPr="001C2DA9">
              <w:rPr>
                <w:rFonts w:ascii="Times New Roman" w:hAnsi="Times New Roman" w:cs="Times New Roman"/>
                <w:color w:val="000000"/>
                <w:sz w:val="34"/>
                <w:szCs w:val="34"/>
                <w:shd w:val="clear" w:color="auto" w:fill="FFFFFF"/>
              </w:rPr>
              <w:t xml:space="preserve"> обеспечение в детские </w:t>
            </w:r>
            <w:proofErr w:type="spellStart"/>
            <w:r w:rsidRPr="001C2DA9">
              <w:rPr>
                <w:rFonts w:ascii="Times New Roman" w:hAnsi="Times New Roman" w:cs="Times New Roman"/>
                <w:color w:val="000000"/>
                <w:sz w:val="34"/>
                <w:szCs w:val="34"/>
                <w:shd w:val="clear" w:color="auto" w:fill="FFFFFF"/>
              </w:rPr>
              <w:t>интернатные</w:t>
            </w:r>
            <w:proofErr w:type="spellEnd"/>
            <w:r w:rsidRPr="001C2DA9">
              <w:rPr>
                <w:rFonts w:ascii="Times New Roman" w:hAnsi="Times New Roman" w:cs="Times New Roman"/>
                <w:color w:val="000000"/>
                <w:sz w:val="34"/>
                <w:szCs w:val="34"/>
                <w:shd w:val="clear" w:color="auto" w:fill="FFFFFF"/>
              </w:rPr>
              <w:t xml:space="preserve">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1.1.4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даче согласия на залог жилого помещения, в котором проживают несовершеннолетние либо принадлежащего несовершеннолетним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1.1.5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  <w:proofErr w:type="gramEnd"/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1.1.7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снятии граждан с учета нуждающихся в улучшении жилищных условий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1.1.10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об индексации именных приватизационных чеков «Жилье»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1.1.11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разделении именных приватизационных чеков «Жилье»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1.1.12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признании жилого помещения не соответствующим установленным для проживания санитарным и техническим требованиям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1.1.13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об изменении договора найма жилого помещения государственного жилищного фонда: по требованию нанимателей, объединяющихся в одну семью; вследствие признания нанимателем другого члена семьи; по требованию члена семьи нанимателя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1.1.14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Принятие решения о переводе жилого помещения </w:t>
            </w: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нежилое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1.1.15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Принятие решения об отмене решения о переводе жилого помещения </w:t>
            </w: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нежилое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1.1.15</w:t>
            </w:r>
            <w:r w:rsidRPr="001C2DA9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Принятие решения о переводе нежилого помещения </w:t>
            </w: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жилое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1.1.15</w:t>
            </w:r>
            <w:r w:rsidRPr="001C2DA9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Принятие решения об отмене решения о переводе нежилого помещения </w:t>
            </w: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жилое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1.1.16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сносе непригодного для проживания жилого помещения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1.1.17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согласовании использования не по назначению одноквартирного, блокированного жилого дома или его части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1.1.18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предоставлении арендного жилья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1.1.18</w:t>
            </w:r>
            <w:r w:rsidRPr="001C2DA9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включении арендного жилья в состав жилых помещений социального пользования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1.1.19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предоставлении освободившейся жилой комнаты государственного жилищного фонда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1.1.20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предоставлении жилого помещения государственного жилищного фонда меньшего размера взамен занимаемого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1.1.21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согласовании (разрешении) переустройства и (или) перепланировки жилого, нежилого помещения в жилом доме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1.1.21</w:t>
            </w:r>
            <w:r w:rsidRPr="001C2DA9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Принятие решения о согласовании (разрешении) </w:t>
            </w: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самовольных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переустройства и (или) перепланировки жилого помещения, нежилого помещения в жилом доме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1.1.21</w:t>
            </w:r>
            <w:r w:rsidRPr="001C2DA9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об утверждении акта приемки выполненных работ по переустройству и (или) перепланировке жилого помещения, нежилого помещения в жилом доме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1.1.22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передаче в собственность жилого помещения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1.1.23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включении в состав организации застройщиков, формируемой из числа граждан, состоящих на учете нуждающихся в улучшении жилищных условий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1.1.23</w:t>
            </w:r>
            <w:r w:rsidRPr="001C2DA9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1.1.24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предоставлении одноразовой субсидии на строительство (реконструкцию) или приобретение жилого помещения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1.1.28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(реконструируемого) или приобретенного 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банками на их строительство (реконструкцию) в установленном порядке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1.1.31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1.1.32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Принятие решения </w:t>
            </w: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о внесении изменений в решение о предоставлении субсидии на уплату части процентов за пользование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1.1.33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Принятие решения об установлении иного срока возмещения затрат на реализацию </w:t>
            </w:r>
            <w:proofErr w:type="spell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энергоэффективных</w:t>
            </w:r>
            <w:proofErr w:type="spell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мероприятий в многоквартирных жилых домах для отдельных категорий граждан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1.3.1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справки о состоянии на учете нуждающихся в улучшении жилищных условий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1.3.7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справки о начисленной жилищной квоте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1.3.9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справки о предоставлении (</w:t>
            </w:r>
            <w:proofErr w:type="spell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непредоставлении</w:t>
            </w:r>
            <w:proofErr w:type="spell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) одноразовой субсидии на строительство (реконструкцию) или приобретение жилого помещения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1.3.11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proofErr w:type="gramStart"/>
            <w:r w:rsidRPr="001C2DA9">
              <w:rPr>
                <w:rFonts w:ascii="Times New Roman" w:hAnsi="Times New Roman" w:cs="Times New Roman"/>
                <w:color w:val="000000"/>
                <w:sz w:val="34"/>
                <w:szCs w:val="34"/>
                <w:shd w:val="clear" w:color="auto" w:fill="FFFFFF"/>
              </w:rPr>
              <w:t>Выдача справки о том, что в установленный законодательством для принятия наследства срок наследник пользовался наследственным имуществом, принял меры к его сохранению, обрабатывал земельный участок, производил текущий ремонт и т.д.</w:t>
            </w:r>
            <w:proofErr w:type="gramEnd"/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1.3.13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Выдача справки о стоимости строительства (реконструкции) одноквартирного жилого дома или квартиры в блокированном жилом доме в текущих ценах, определенной на основании сметной </w:t>
            </w:r>
            <w:r w:rsidRPr="001C2D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документации, и стоимости выполненных работ, закупленных материалов и изделий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1.5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гражданам, состоящим на учете нуждающихся в улучшении жилищных условий, направлений для заключения договоров создания объектов долевого строительства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1.6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Включение в списки на получение льготных кредитов граждан, состоящих на учёте нуждающихся в улучшении жилищных условий по месту жительства (работы, службы) и желающих улучшить свои жилищные условия путём строительства (реконструкции) или приобретения жилых помещений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1.7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Включение в списки на получение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населенных пунктах с численностью населения до 20 тыс. человек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1.8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Регистрация договора найма (аренды) жилого помещения частного жилищного фонда и дополнительных соглашений к нему</w:t>
            </w:r>
          </w:p>
        </w:tc>
      </w:tr>
      <w:tr w:rsidR="009816CC" w:rsidRPr="001C2DA9" w:rsidTr="00493D51">
        <w:tc>
          <w:tcPr>
            <w:tcW w:w="455" w:type="pct"/>
            <w:tcBorders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1.9</w:t>
            </w:r>
          </w:p>
        </w:tc>
        <w:tc>
          <w:tcPr>
            <w:tcW w:w="4545" w:type="pct"/>
            <w:tcBorders>
              <w:lef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Регистрация договоров купли-продажи, мены, дарения, находящихся в сельской местности и эксплуатируемых до 8 мая 2003 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них), не зарегистрированных в территориальной организации по государственной регистрации недвижимого имущества, прав на него и сделок с ним</w:t>
            </w:r>
            <w:proofErr w:type="gramEnd"/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1.13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1.14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Регистрация договора аренды (субаренды) нежилого помещения, </w:t>
            </w:r>
            <w:proofErr w:type="spell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машино-места</w:t>
            </w:r>
            <w:proofErr w:type="spell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и дополнительных соглашений к нему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1.15.1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согласования на установку на крышах и фасадах многоквартирных жилых домов индивидуальных антенн и иных конструкций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1.15.2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согласования самовольной установки на крышах и фасадах многоквартирных жилых домов индивидуальных антенн и иных конструкций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1.15.3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согласования проектной документации на переустройство и (или) перепланировку жилых помещений, нежилых помещений в жилых домах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2.7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единовременной выплате семьям при рождении двоих и более детей на приобретение детских вещей первой необходимости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2.15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Назначение пособия по уходу за ребенком-инвалидом в возрасте до 18 лет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2.18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Выдача справки о размере пособия на детей и периоде его </w:t>
            </w:r>
            <w:proofErr w:type="spell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выплаты</w:t>
            </w: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,</w:t>
            </w:r>
            <w:r w:rsidRPr="001C2DA9">
              <w:rPr>
                <w:rFonts w:ascii="Times New Roman" w:hAnsi="Times New Roman" w:cs="Times New Roman"/>
                <w:color w:val="000000"/>
                <w:sz w:val="34"/>
                <w:szCs w:val="34"/>
                <w:shd w:val="clear" w:color="auto" w:fill="FFFFFF"/>
              </w:rPr>
              <w:t>в</w:t>
            </w:r>
            <w:proofErr w:type="spellEnd"/>
            <w:proofErr w:type="gramEnd"/>
            <w:r w:rsidRPr="001C2DA9">
              <w:rPr>
                <w:rFonts w:ascii="Times New Roman" w:hAnsi="Times New Roman" w:cs="Times New Roman"/>
                <w:color w:val="000000"/>
                <w:sz w:val="34"/>
                <w:szCs w:val="34"/>
                <w:shd w:val="clear" w:color="auto" w:fill="FFFFFF"/>
              </w:rPr>
              <w:t xml:space="preserve"> отношении лиц, получающих пособия в органах по труду, занятости и социальной защите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2.18</w:t>
            </w:r>
            <w:r w:rsidRPr="001C2DA9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Выдача справки о неполучении пособия на детей 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2.32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2.33.1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предоставлении (об отказе в предоставлении) государственной адресной социальной помощи в виде ежемесячного и (или) единовременного социальных пособий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2.33.2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предоставлении (об отказе в предоставлении) государственной адресной социальной помощи в виде социального пособия для возмещения затрат на приобретение подгузников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2.33.4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предоставлении (об отказе в предоставлении) государственной адресной помощи в виде обеспечения продуктами питания детей первых двух лет жизни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2.37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справки о месте захоронения родственников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2.38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назначении пособия по уходу за инвалидом I группы либо лицом, достигшим 80-летнего возраста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2.39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справки о размере (неполучении) пособия по уходу за инвалидом I группы либо лицом, достигшим 80-летнего возраста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2.42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справки 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предпринимателя, ответственных за вред, вследствие признания их экономически несостоятельными (банкротами)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2.46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назначении семейного капитала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2.47.1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досрочном распоряжении средствами семейного капитала на строительство (реконструкцию), приобретение жилых помещений, приобретение доли (долей) в праве собственности на них, погашение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ими</w:t>
            </w:r>
            <w:proofErr w:type="gramEnd"/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2.47.2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Принятие решения о досрочном распоряжении средствами семейного </w:t>
            </w:r>
            <w:proofErr w:type="spell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капиталана</w:t>
            </w:r>
            <w:proofErr w:type="spell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получение на платной основе общего высшего образования, специального высшего образования, среднего специального образования в государственных учреждениях образования Республики Беларусь,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</w:t>
            </w:r>
          </w:p>
        </w:tc>
      </w:tr>
      <w:tr w:rsidR="009816CC" w:rsidRPr="001C2DA9" w:rsidTr="00493D51">
        <w:tc>
          <w:tcPr>
            <w:tcW w:w="455" w:type="pct"/>
            <w:tcBorders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2.47.3</w:t>
            </w:r>
          </w:p>
        </w:tc>
        <w:tc>
          <w:tcPr>
            <w:tcW w:w="4545" w:type="pct"/>
            <w:tcBorders>
              <w:lef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досрочном распоряжении средствами семейного капитала на получение платных медицинских услуг, оказываемых организациями здравоохранения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2.47.4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Принятие решения о досрочном распоряжении средствами семейного </w:t>
            </w:r>
            <w:proofErr w:type="spell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капиталана</w:t>
            </w:r>
            <w:proofErr w:type="spell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приобретение товаров, предназначенных для социальной реабилитации и интеграции инвалидов в общество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2.48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Принятие решения о распоряжении средствами семейного капитала после истечения 18 лет </w:t>
            </w: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с даты рождения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ребенка, в связи с рождением (усыновлением, удочерением) которого семья приобрела право на назначение семейного капитала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2.50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внесении изменений в решение о назначении семейного капитала и выдача выписки из такого решения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3.2, 3.21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удостоверения (дубликата удостоверения) инвалида Отечественной войны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3.3, 3.21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Выдача удостоверения (дубликата удостоверения)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</w:t>
            </w:r>
            <w:bookmarkStart w:id="0" w:name="_GoBack"/>
            <w:bookmarkEnd w:id="0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ставших инвалидами вследствие ранения, контузии, увечья или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заболевания, полученных при </w:t>
            </w:r>
            <w:r w:rsidRPr="001C2D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исполнении обязанностей военной службы (служебных обязанностей)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3.4, 3.21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удостоверения (дубликата удостоверения)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3.5, 3.21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удостоверения (дубликата удостоверения) лицам, работавшим в период блокады г</w:t>
            </w: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.Л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енинграда с 8 сентября 1941 г. по 27 января 1944 г.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3.6, 3.21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удостоверения (дубликата удостоверения)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3.7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справки о праве на льготы детям и другим иждивенцам, получающим пенсию по случаю потери кормильца за погибших (умерших) лиц, перечисленных в статье 22 Закона Республики Беларусь от 17 апреля 1992 г. № 1594-ХII«О ветеранах»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3.8, 3.21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удостоверения (дубликата удостоверения)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3.9, 3.21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удостоверения (дубликата удостоверения) пострадавшего от катастрофы на Чернобыльской АЭС, других радиационных аварий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3.13</w:t>
            </w:r>
            <w:r w:rsidRPr="001C2DA9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1</w:t>
            </w: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.2, 3.21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удостоверения (дубликата удостоверения) национального образца инвалида боевых действий на территории других государств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3.15, 3.21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удостоверения (дубликата удостоверения) многодетной семьи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3.17, 3.21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Выдача удостоверения (дубликата удостоверения) 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</w:t>
            </w:r>
            <w:r w:rsidRPr="001C2D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дорог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3.18, 3.21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удостоверения (дубликата удостоверения) о праве на льготы для лиц из числа членов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3.20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вкладыша к удостоверению о праве на льготы для родителей, перечисленных в пункте 12 статьи 3 Закона Республики Беларусь от</w:t>
            </w:r>
            <w:r w:rsidRPr="001C2DA9">
              <w:rPr>
                <w:rFonts w:ascii="Times New Roman" w:hAnsi="Times New Roman" w:cs="Times New Roman"/>
                <w:sz w:val="34"/>
                <w:szCs w:val="34"/>
              </w:rPr>
              <w:br/>
              <w:t>14 июня 2007 г. № 239-З «О государственных социальных льготах, правах и гарантиях для отдельных категорий граждан»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4.1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Выдача </w:t>
            </w: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акта обследования условий жизни кандидата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в усыновители (</w:t>
            </w:r>
            <w:proofErr w:type="spell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удочерители</w:t>
            </w:r>
            <w:proofErr w:type="spell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)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4.2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Назначение ежемесячных денежных выплат на содержание усыновленных (удочеренных) детей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4.3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об установлении опеки (попечительства) над совершеннолетним и назначении опекуна (попечителя)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4.4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об установлении опеки (попечительства) над несовершеннолетним и назначении опекуна (попечителя)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4.5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4.6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передаче ребенка (детей) на воспитание в приемную семью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4.7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создании детского дома семейного типа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4.8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об установлении патронажа (назначения помощника)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4.9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об изменении фамилии несовершеннолетнего и собственного имени несовершеннолетнего старше 6 лет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4.10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Принятие решения об объявлении несовершеннолетнего полностью </w:t>
            </w: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дееспособным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(эмансипация)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4.11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об освобождении опекунов, попечителей от выполнения ими своих обязанностей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6.1.1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дубликата документа об образовании, приложения к нему, документа об обучени</w:t>
            </w: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и(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в </w:t>
            </w:r>
            <w:r w:rsidRPr="001C2D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случае ликвидации организации, прекращении деятельности индивидуального предпринимателя, выдавших документ)</w:t>
            </w:r>
          </w:p>
        </w:tc>
      </w:tr>
      <w:tr w:rsidR="009816CC" w:rsidRPr="001C2DA9" w:rsidTr="00493D51">
        <w:tc>
          <w:tcPr>
            <w:tcW w:w="455" w:type="pct"/>
            <w:tcBorders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6.1.2</w:t>
            </w:r>
          </w:p>
        </w:tc>
        <w:tc>
          <w:tcPr>
            <w:tcW w:w="4545" w:type="pct"/>
            <w:tcBorders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дубликата свидетельства о направлении на работу (в случае ликвидации организации, выдавшей свидетельство)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6.1.3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дубликата справки о самостоятельном трудоустройстве (в случае ликвидации организации, выдавшей справку)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6.1.5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дубликата удостоверения на право обслуживания потенциально опасных объектов (в случае ликвидации организации, выдавшей удостоверение)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6.2.1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Выдача в связи с изменением половой принадлежности документа об образовании, приложения к нему, документа об обучении (в случае ликвидации организации, прекращении деятельности индивидуального предпринимателя, </w:t>
            </w:r>
            <w:proofErr w:type="spell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выдавшегодокумент</w:t>
            </w:r>
            <w:proofErr w:type="spell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)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6.2.2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в связи с изменением половой принадлежности свидетельства о направлении на работу (в случае ликвидации организации, выдавшей свидетельство)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6.2.3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в связи с изменением половой принадлежности справки о самостоятельном трудоустройстве (в случае ликвидации организации, выдавшей справку)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6.2.5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в связи с изменением половой принадлежности удостоверения на право обслуживания потенциально опасных объектов (в случае ликвидации организации, выдавшей удостоверение)</w:t>
            </w:r>
          </w:p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6.5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справки о том, что высшее, среднее специальное образование получено на платной основе (в случае ликвидации учреждения образования)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6.6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Постановка на учет детей в целях получения ими дошкольного образования, специального образования на уровне дошкольного образования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6.7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8.4</w:t>
            </w:r>
            <w:r w:rsidRPr="001C2DA9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Принятие решения об осуществлении деятельности по оказанию услуг в сфере </w:t>
            </w:r>
            <w:proofErr w:type="spell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агроэкотуризма</w:t>
            </w:r>
            <w:proofErr w:type="spellEnd"/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8.10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Согласование выполнения земляных, строительных, мелиоративных и других работ, осуществления иной деятельности на территории археологических объектов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9.3.1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разрешительной документации на возведение одноквартирного, блокированного жилого дома и (или) нежилых капитальных построек на придомовой территории, а также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9.3.1</w:t>
            </w:r>
            <w:r w:rsidRPr="001C2DA9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паспорта застройщика (при возведении и реконструкции одноквартирного жилого дома и (или) нежилых капитальных построек в упрощенном порядке</w:t>
            </w:r>
            <w:proofErr w:type="gramEnd"/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9.3.2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решения о разрешении на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      </w:r>
            <w:proofErr w:type="gramEnd"/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9.3.3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согласованной проектной документации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садоводства),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9.3.4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Выдача утвержденного местным исполнительным и распорядительным органом акта приемки в эксплуатацию законченных возведением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сложности, реконструированных жилых и (или) нежилых помещений </w:t>
            </w:r>
            <w:r w:rsidRPr="001C2D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 пятого класса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сложности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9.3.5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решения о продлении срока строительства капитального строения в виде жилого дома, дачи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9.3.6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подписанного акта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9.4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по самовольному строительству в установленном порядке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9.8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разрешения 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10.3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Оказание услуг по газификации одноквартирного жилого дома с оказанием гражданину комплексной услуги газоснабжающей организацией</w:t>
            </w:r>
          </w:p>
        </w:tc>
      </w:tr>
      <w:tr w:rsidR="009816CC" w:rsidRPr="001C2DA9" w:rsidTr="00493D51">
        <w:tc>
          <w:tcPr>
            <w:tcW w:w="455" w:type="pct"/>
            <w:tcBorders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10.6</w:t>
            </w:r>
            <w:r w:rsidRPr="001C2DA9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</w:t>
            </w:r>
          </w:p>
        </w:tc>
        <w:tc>
          <w:tcPr>
            <w:tcW w:w="4545" w:type="pct"/>
            <w:tcBorders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Включение </w:t>
            </w: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 списки на возмещение части расходов на выполнение работ по энергоснабжению находящихся в эксплуатации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одноквартирных (блокированных) жилых домов, жилых помещений в блокированных жилых домах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10.6</w:t>
            </w:r>
            <w:r w:rsidRPr="001C2DA9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3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возмещение части расходов на выполнение работ по энергоснабжению находящихся в эксплуатации одноквартирных (блокированных) жилых домов, жилых помещений в блокированных жилых домах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10.19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Включение в списки на получение льготных кредитов для газификации эксплуатируемого жилищного фонда, принадлежащего гражданам на праве собственности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10.21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Принятие решения о полном или частичном освобождении (об отказе в освобождении) трудоспособных граждан, не занятых в экономике, от оплаты услуг, определяемых Советом Министров Республики Беларусь, по ценам (тарифам), обеспечивающим полное возмещение </w:t>
            </w:r>
            <w:r w:rsidRPr="001C2D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экономически обоснованных затрат на их оказание, в связи с нахождением таких граждан в трудной жизненной ситуации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15.19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постановке граждан на учет нуждающихся в местах хранения транспортных средств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15.20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снятии граждан с учета нуждающихся в местах хранения транспортных средств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16.6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разрешения на удаление объектов растительного мира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16.16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выделении деловой древесины на корню до 50 куб</w:t>
            </w: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.м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етров по таксовой стоимости для восстановления жилого дома и (или) надворных построек, уничтоженных или поврежденных в результате пожара, стихийного бедствия или иного вредного воздействия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17.7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Регистрация собак, кошек с выдачей регистрационного удостоверения и жетона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18.14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(родители) (усыновители, </w:t>
            </w:r>
            <w:proofErr w:type="spell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удочерители</w:t>
            </w:r>
            <w:proofErr w:type="spell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Беларусь,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      </w:r>
            <w:proofErr w:type="gramEnd"/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18.16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находящиеся в государственной собственности, и транспортному налогу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18.17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Принятии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решения об изменении установленного законодательством срока уплаты налога, сбора (пошлины), пеней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18.18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Предоставлении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информации из Единого государственного регистра юридических лиц и индивидуальных предпринимателей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18.25.1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 касающимся имущественных и наследственных прав граждан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18.25.2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 не касающимся имущественных и наследственных прав граждан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18.26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20.2.3</w:t>
            </w:r>
            <w:r w:rsidRPr="001C2DA9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справки о страховании гражданина, проходящего альтернативную службу, погибшего (умершего) при исполнении обязанностей альтернативной службы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20.6</w:t>
            </w:r>
            <w:r w:rsidRPr="001C2DA9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Выдача справки о направлении на альтернативную службу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22.8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1726C3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Принятие решения, подтверждающего </w:t>
            </w:r>
            <w:proofErr w:type="spell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приобретательную</w:t>
            </w:r>
            <w:proofErr w:type="spell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давность на недвижимое имущество, сведения о котором отсутствуют в едином государственном регистре недвижимого имущества, прав на него и сделок с ним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22.9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22.9</w:t>
            </w:r>
            <w:r w:rsidRPr="001C2DA9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1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Принятие решения о возможности изменения назначения капитального строения, изолированного помещения, </w:t>
            </w:r>
            <w:proofErr w:type="spell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машино-места</w:t>
            </w:r>
            <w:proofErr w:type="spell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по единой классификации назначения объектов недвижимого имущества без проведения строительно-монтажных работ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22.9</w:t>
            </w:r>
            <w:r w:rsidRPr="001C2DA9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Принятие решения об определении назначения капитального строения (здания, сооружения), изолированного помещения, </w:t>
            </w:r>
            <w:proofErr w:type="spell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машино-места</w:t>
            </w:r>
            <w:proofErr w:type="spell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в соответствии с единой классификацией назначения </w:t>
            </w:r>
            <w:r w:rsidRPr="001C2D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 xml:space="preserve">объектов недвижимого имущества (за исключением эксплуатируемых капитальных строений (зданий, сооружений) изолированных помещений, </w:t>
            </w:r>
            <w:proofErr w:type="spell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машино-мест</w:t>
            </w:r>
            <w:proofErr w:type="spellEnd"/>
            <w:proofErr w:type="gramEnd"/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22.9</w:t>
            </w:r>
            <w:r w:rsidRPr="001C2DA9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3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Принятие решения о возможности использования капитального строения, изолированного помещения или </w:t>
            </w:r>
            <w:proofErr w:type="spell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машино-места</w:t>
            </w:r>
            <w:proofErr w:type="spell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</w:tr>
      <w:tr w:rsidR="009816CC" w:rsidRPr="001C2DA9" w:rsidTr="00493D51">
        <w:tc>
          <w:tcPr>
            <w:tcW w:w="45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22.24</w:t>
            </w:r>
          </w:p>
        </w:tc>
        <w:tc>
          <w:tcPr>
            <w:tcW w:w="4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Выдача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      </w:r>
            <w:proofErr w:type="spell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похозяйственную</w:t>
            </w:r>
            <w:proofErr w:type="spell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книгу сельского (поселкового) исполнительного и распорядительного органа, с указанием его</w:t>
            </w:r>
            <w:proofErr w:type="gram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9816CC" w:rsidRPr="001C2DA9" w:rsidTr="00493D51">
        <w:tc>
          <w:tcPr>
            <w:tcW w:w="455" w:type="pct"/>
            <w:tcBorders>
              <w:righ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22.24</w:t>
            </w:r>
            <w:r w:rsidRPr="001C2DA9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2</w:t>
            </w:r>
          </w:p>
        </w:tc>
        <w:tc>
          <w:tcPr>
            <w:tcW w:w="4545" w:type="pct"/>
            <w:tcBorders>
              <w:left w:val="single" w:sz="5" w:space="0" w:color="000000"/>
            </w:tcBorders>
          </w:tcPr>
          <w:p w:rsidR="009816CC" w:rsidRPr="001C2DA9" w:rsidRDefault="009816CC" w:rsidP="009816CC">
            <w:pPr>
              <w:tabs>
                <w:tab w:val="left" w:pos="4494"/>
              </w:tabs>
              <w:spacing w:after="0" w:line="240" w:lineRule="auto"/>
              <w:ind w:left="104" w:right="150"/>
              <w:jc w:val="both"/>
              <w:rPr>
                <w:rFonts w:ascii="Times New Roman" w:hAnsi="Times New Roman" w:cs="Times New Roman"/>
                <w:sz w:val="34"/>
                <w:szCs w:val="34"/>
              </w:rPr>
            </w:pPr>
            <w:proofErr w:type="gram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Выдача справки, подтверждающей эксплуатацию до 8 мая 2003 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</w:t>
            </w:r>
            <w:proofErr w:type="spellStart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>похозяйственную</w:t>
            </w:r>
            <w:proofErr w:type="spellEnd"/>
            <w:r w:rsidRPr="001C2DA9">
              <w:rPr>
                <w:rFonts w:ascii="Times New Roman" w:hAnsi="Times New Roman" w:cs="Times New Roman"/>
                <w:sz w:val="34"/>
                <w:szCs w:val="34"/>
              </w:rPr>
              <w:t xml:space="preserve"> книгу сельского (поселкового) исполнительного комитета)</w:t>
            </w:r>
            <w:proofErr w:type="gramEnd"/>
          </w:p>
        </w:tc>
      </w:tr>
    </w:tbl>
    <w:p w:rsidR="001726C3" w:rsidRPr="001C2DA9" w:rsidRDefault="001726C3" w:rsidP="00D56C90">
      <w:pPr>
        <w:tabs>
          <w:tab w:val="left" w:pos="4494"/>
        </w:tabs>
        <w:spacing w:after="0" w:line="240" w:lineRule="auto"/>
        <w:ind w:firstLine="566"/>
        <w:jc w:val="center"/>
        <w:rPr>
          <w:rFonts w:ascii="Times New Roman" w:hAnsi="Times New Roman" w:cs="Times New Roman"/>
          <w:sz w:val="34"/>
          <w:szCs w:val="34"/>
        </w:rPr>
      </w:pPr>
    </w:p>
    <w:sectPr w:rsidR="001726C3" w:rsidRPr="001C2DA9" w:rsidSect="001C2DA9">
      <w:pgSz w:w="16838" w:h="11906" w:orient="landscape"/>
      <w:pgMar w:top="289" w:right="289" w:bottom="567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16CC"/>
    <w:rsid w:val="001726C3"/>
    <w:rsid w:val="001C2DA9"/>
    <w:rsid w:val="006D522B"/>
    <w:rsid w:val="008D2AB7"/>
    <w:rsid w:val="009816CC"/>
    <w:rsid w:val="00D56C90"/>
    <w:rsid w:val="00D6371E"/>
    <w:rsid w:val="00DD35BC"/>
    <w:rsid w:val="00F7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4823</Words>
  <Characters>27497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simonova_nl</dc:creator>
  <cp:lastModifiedBy>simonova_nl</cp:lastModifiedBy>
  <cp:revision>2</cp:revision>
  <cp:lastPrinted>2023-05-03T08:21:00Z</cp:lastPrinted>
  <dcterms:created xsi:type="dcterms:W3CDTF">2023-05-05T05:08:00Z</dcterms:created>
  <dcterms:modified xsi:type="dcterms:W3CDTF">2023-05-05T05:08:00Z</dcterms:modified>
</cp:coreProperties>
</file>