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4" w:rsidRPr="00000004" w:rsidRDefault="00000004" w:rsidP="0000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>РЕШЕНИЕ БЕЛЫНИЧСКОГО РАЙОННОГО ИСПОЛНИТЕЛЬНОГО КОМИТЕТА</w:t>
      </w:r>
    </w:p>
    <w:p w:rsidR="00000004" w:rsidRPr="00000004" w:rsidRDefault="00000004" w:rsidP="00000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4 мая 2018 г. № 12-17</w:t>
      </w:r>
    </w:p>
    <w:p w:rsidR="00000004" w:rsidRPr="00000004" w:rsidRDefault="00000004" w:rsidP="00000004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0000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 утверждении Положения о постоянно действующей комиссии по координации работы по содействию занятости населения</w:t>
      </w:r>
    </w:p>
    <w:p w:rsidR="00000004" w:rsidRPr="00000004" w:rsidRDefault="00000004" w:rsidP="00000004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 и дополнения:</w:t>
      </w:r>
    </w:p>
    <w:p w:rsidR="00000004" w:rsidRPr="00000004" w:rsidRDefault="00000004" w:rsidP="00000004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Белыничского районного исполнительного комитета от 30 января 2019 г. № 4-9 (Национальный правовой Интернет-портал Республики Беларусь, 15.02.2019, 9/94245) &lt;R919m0094245&gt;;</w:t>
      </w:r>
    </w:p>
    <w:p w:rsidR="00000004" w:rsidRPr="00000004" w:rsidRDefault="00000004" w:rsidP="00000004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Белыничского районного исполнительного комитета от 17 мая 2019 г. № 11-19 (Национальный правовой Интернет-портал Республики Беларусь, 11.06.2019, 9/96277) &lt;R919m0096277&gt;;</w:t>
      </w:r>
    </w:p>
    <w:p w:rsidR="00000004" w:rsidRPr="00000004" w:rsidRDefault="00000004" w:rsidP="00000004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Белыничского районного исполнительного комитета от 6 сентября 2019 г. № 17-32 (Национальный правовой Интернет-портал Республики Беларусь, 26.09.2019, 9/97658) &lt;R919m0097658&gt;;</w:t>
      </w:r>
    </w:p>
    <w:p w:rsidR="00000004" w:rsidRPr="00000004" w:rsidRDefault="00000004" w:rsidP="00000004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Белыничского районного исполнительного комитета от 17 июня 2022 г. № 16-25 (Национальный правовой Интернет-портал Республики Беларусь, 28.06.2022, 9/116463) &lt;R922m0116463&gt;;</w:t>
      </w:r>
    </w:p>
    <w:p w:rsidR="00000004" w:rsidRPr="00000004" w:rsidRDefault="00000004" w:rsidP="00000004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Белыничского районного исполнительного комитета от 16 ноября 2023 г. № 30-21 (Национальный правовой Интернет-портал Республики Беларусь, 08.12.2023, 9/127620) &lt;R923m0127620&gt;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части четвертой пункта 4 Декрета Президента Республики Беларусь от 2 апреля 2015 г. № 3 «О содействии занятости населения», пункта 2 постановления Совета Министров Республики Беларусь от 31 марта 2018 г. № 240 «Об утверждении Примерного положения о постоянно действующей комиссии по координации работы по содействию занятости населения» Белыничский районный исполнительный комитет РЕШИЛ: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1. Утвердить Положение о постоянно действующей комиссии по координации работы по содействию занятости населения (прилагается).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2. Исключен.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3. Настоящее решение вступает в силу после его официального опубликования.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00004" w:rsidRPr="00000004" w:rsidTr="000000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4" w:rsidRPr="00000004" w:rsidRDefault="00000004" w:rsidP="0000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b/>
                <w:bCs/>
                <w:lang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4" w:rsidRPr="00000004" w:rsidRDefault="00000004" w:rsidP="00000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b/>
                <w:bCs/>
                <w:lang/>
              </w:rPr>
              <w:t>Н.М.Кодатенко</w:t>
            </w:r>
          </w:p>
        </w:tc>
      </w:tr>
      <w:tr w:rsidR="00000004" w:rsidRPr="00000004" w:rsidTr="000000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4" w:rsidRPr="00000004" w:rsidRDefault="00000004" w:rsidP="0000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4" w:rsidRPr="00000004" w:rsidRDefault="00000004" w:rsidP="00000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</w:tc>
      </w:tr>
      <w:tr w:rsidR="00000004" w:rsidRPr="00000004" w:rsidTr="000000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4" w:rsidRPr="00000004" w:rsidRDefault="00000004" w:rsidP="0000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b/>
                <w:bCs/>
                <w:lang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4" w:rsidRPr="00000004" w:rsidRDefault="00000004" w:rsidP="00000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b/>
                <w:bCs/>
                <w:lang/>
              </w:rPr>
              <w:t>С.А.Войтович</w:t>
            </w:r>
          </w:p>
        </w:tc>
      </w:tr>
    </w:tbl>
    <w:p w:rsidR="00000004" w:rsidRPr="00000004" w:rsidRDefault="00000004" w:rsidP="0000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000004" w:rsidRPr="00000004" w:rsidTr="0000000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4" w:rsidRPr="00000004" w:rsidRDefault="00000004" w:rsidP="00000004">
            <w:pPr>
              <w:spacing w:after="28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lang/>
              </w:rPr>
              <w:t>СОГЛАСОВАНО</w:t>
            </w:r>
          </w:p>
          <w:p w:rsidR="00000004" w:rsidRPr="00000004" w:rsidRDefault="00000004" w:rsidP="00000004">
            <w:pPr>
              <w:spacing w:after="28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lang/>
              </w:rPr>
              <w:t>Председатель</w:t>
            </w:r>
            <w:r w:rsidRPr="00000004">
              <w:rPr>
                <w:rFonts w:ascii="Times New Roman" w:eastAsia="Times New Roman" w:hAnsi="Times New Roman" w:cs="Times New Roman"/>
                <w:lang/>
              </w:rPr>
              <w:br/>
              <w:t>Белыничского районного</w:t>
            </w:r>
            <w:r w:rsidRPr="00000004">
              <w:rPr>
                <w:rFonts w:ascii="Times New Roman" w:eastAsia="Times New Roman" w:hAnsi="Times New Roman" w:cs="Times New Roman"/>
                <w:lang/>
              </w:rPr>
              <w:br/>
              <w:t>Совета депутатов</w:t>
            </w:r>
          </w:p>
          <w:p w:rsidR="00000004" w:rsidRPr="00000004" w:rsidRDefault="00000004" w:rsidP="00000004">
            <w:pPr>
              <w:spacing w:after="0" w:line="240" w:lineRule="auto"/>
              <w:ind w:firstLine="1021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lang/>
              </w:rPr>
              <w:t>А.А.Ганчук</w:t>
            </w:r>
          </w:p>
          <w:p w:rsidR="00000004" w:rsidRPr="00000004" w:rsidRDefault="00000004" w:rsidP="00000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lang/>
              </w:rPr>
              <w:t>04.05.2018</w:t>
            </w:r>
          </w:p>
        </w:tc>
      </w:tr>
    </w:tbl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788"/>
      </w:tblGrid>
      <w:tr w:rsidR="00000004" w:rsidRPr="00000004" w:rsidTr="0000000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4" w:rsidRPr="00000004" w:rsidRDefault="00000004" w:rsidP="000000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4" w:rsidRPr="00000004" w:rsidRDefault="00000004" w:rsidP="00000004">
            <w:pPr>
              <w:spacing w:after="12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lang/>
              </w:rPr>
              <w:t>УТВЕРЖДЕНО</w:t>
            </w:r>
          </w:p>
          <w:p w:rsidR="00000004" w:rsidRPr="00000004" w:rsidRDefault="00000004" w:rsidP="00000004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lang/>
              </w:rPr>
              <w:t xml:space="preserve">Решение </w:t>
            </w:r>
            <w:r w:rsidRPr="00000004">
              <w:rPr>
                <w:rFonts w:ascii="Times New Roman" w:eastAsia="Times New Roman" w:hAnsi="Times New Roman" w:cs="Times New Roman"/>
                <w:lang/>
              </w:rPr>
              <w:br/>
              <w:t>Белыничского районного</w:t>
            </w:r>
            <w:r w:rsidRPr="00000004">
              <w:rPr>
                <w:rFonts w:ascii="Times New Roman" w:eastAsia="Times New Roman" w:hAnsi="Times New Roman" w:cs="Times New Roman"/>
                <w:lang/>
              </w:rPr>
              <w:br/>
              <w:t>исполнительного комитета</w:t>
            </w:r>
          </w:p>
          <w:p w:rsidR="00000004" w:rsidRPr="00000004" w:rsidRDefault="00000004" w:rsidP="00000004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00004">
              <w:rPr>
                <w:rFonts w:ascii="Times New Roman" w:eastAsia="Times New Roman" w:hAnsi="Times New Roman" w:cs="Times New Roman"/>
                <w:lang/>
              </w:rPr>
              <w:lastRenderedPageBreak/>
              <w:t>04.05.2018 № 12-17</w:t>
            </w:r>
          </w:p>
        </w:tc>
      </w:tr>
    </w:tbl>
    <w:p w:rsidR="00000004" w:rsidRPr="00000004" w:rsidRDefault="00000004" w:rsidP="0000000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ПОЛОЖЕНИЕ</w:t>
      </w:r>
      <w:r w:rsidRPr="000000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 постоянно действующей комиссии по координации работы по содействию занятости населения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 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(далее – комиссия), созданной </w:t>
      </w:r>
      <w:proofErr w:type="spellStart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Белыничским</w:t>
      </w:r>
      <w:proofErr w:type="spellEnd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районным исполнительным комитетом (далее – райисполком).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2. Комиссия является постоянно действующим коллегиальным органом, который осуществляет свою деятельность в соответствии с настоящим Положением, решениями райисполкома и другими актами законодательства.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3. Обеспечение деятельности комиссии осуществляется райисполкомом.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4. Основной задачей комиссии является координация работы по реализации норм Декрета Президента Республики Беларусь от 2 апреля 2015 г. № 3 «О содействии занятости населения» (далее – Декрет № 3), в том числе посредством: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самозанятости</w:t>
      </w:r>
      <w:proofErr w:type="spellEnd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 к Примерному положению о постоянно действующей комиссии по координации работы по содействию занятости населения, утвержденному постановлением Совета Министров Республики Беларусь от 31 марта 2018 г. № 240, в соответствии с законодательством об административных процедурах;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000004" w:rsidRPr="00000004" w:rsidRDefault="00000004" w:rsidP="0000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** Для целей настоящего Положения под иными государственными органами (организациями) понимаются: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000004" w:rsidRPr="00000004" w:rsidRDefault="00000004" w:rsidP="0000000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ресоциализацию</w:t>
      </w:r>
      <w:proofErr w:type="spellEnd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лиц, ведущих асоциальный образ жизни;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 иных мероприятий в рамках реализации Декрета № 3.</w:t>
      </w:r>
    </w:p>
    <w:p w:rsidR="00000004" w:rsidRPr="00000004" w:rsidRDefault="00000004" w:rsidP="0000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</w:t>
      </w:r>
    </w:p>
    <w:p w:rsidR="00000004" w:rsidRPr="00000004" w:rsidRDefault="00000004" w:rsidP="0000000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удочерители</w:t>
      </w:r>
      <w:proofErr w:type="spellEnd"/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удочерители</w:t>
      </w:r>
      <w:proofErr w:type="spellEnd"/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), дети, в том числе усыновленные, удочеренные, дед, бабка, внуки, прадед, прабабка, правнуки супруга (супруги).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5. Для реализации возложенных задач комиссия имеет право: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трудоспособными гражданами, не занятыми в экономике, находящимися в трудной жизненной ситуации;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000004" w:rsidRPr="00000004" w:rsidRDefault="00000004" w:rsidP="0000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000004" w:rsidRPr="00000004" w:rsidRDefault="00000004" w:rsidP="0000000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0004">
        <w:rPr>
          <w:rFonts w:ascii="Times New Roman" w:eastAsia="Times New Roman" w:hAnsi="Times New Roman" w:cs="Times New Roman"/>
          <w:sz w:val="20"/>
          <w:szCs w:val="20"/>
          <w:lang w:val="ru-RU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направлять трудоспособных граждан, не занятых в экономике, в управление по труду, занятости и социальной защите райисполкома для оказания им содействия в трудоустройстве;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решения о необходимости направления трудоспособных неработающих граждан, ведущих асоциальный образ жизни, в лечебно-трудовые профилактории с представлением в территориальные органы внутренних дел выписок из протоколов заседаний комиссий, содержащих соответствующие решения;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взаимодействовать с нанимателями по вопросам трудоустройства на временную и (или) постоянную работу на имеющиеся вакансии и созданные рабочие места трудоспособных граждан, не занятых в экономике;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взаимодействовать с государственными органами, иными организациями независимо от формы собственности;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реализовывать иные права в соответствии с законодательством.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6. В состав комиссии входят председатель комиссии, его заместители, секретарь комиссии и иные члены комиссии.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 секретаря комиссии вводится в пределах установленной численности работников райисполкома.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Оплата труда по должности секретаря осуществляется в порядке, установленном законодательством.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7. Председателем комиссии является председатель Белыничского районного Совета депутатов.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 комиссии: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 заседания комиссии и подписывает протоколы заседаний комиссии;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планирует работу комиссии;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 предложения в райисполком о персональном составе комиссии, прекращении деятельности ее членов, кандидатуре секретаря;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иные функции в соответствии с законодательством.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8. Секретарь комиссии: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подготовку материалов для рассмотрения на заседании комиссии;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подготовку заседаний комиссии;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оформляет протоколы заседаний и решения комиссии;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ведет делопроизводство в комиссии;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 иные функции, возложенные на него председателем комиссии.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9. В состав комиссии включаются заместители председателя райисполкома, специалисты структурных подразделений райисполкома, представители учреждения здравоохранения «</w:t>
      </w:r>
      <w:proofErr w:type="spellStart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Белыничская</w:t>
      </w:r>
      <w:proofErr w:type="spellEnd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центральная районная больница», Белыничского унитарного коммунального предприятия «</w:t>
      </w:r>
      <w:proofErr w:type="spellStart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Жилкомхоз</w:t>
      </w:r>
      <w:proofErr w:type="spellEnd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», Белыничского района газоснабжения филиала производственного управления «</w:t>
      </w:r>
      <w:proofErr w:type="spellStart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Могилевоблгаз</w:t>
      </w:r>
      <w:proofErr w:type="spellEnd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» производственного республиканского унитарного предприятия «</w:t>
      </w:r>
      <w:proofErr w:type="spellStart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Могилевоблгаз</w:t>
      </w:r>
      <w:proofErr w:type="spellEnd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» (с их согласия), организаций Белыничского района (с их согласия), депутаты всех уровней (с их согласия), представители управления по работе с налогоплательщиками по </w:t>
      </w:r>
      <w:proofErr w:type="spellStart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Белыничскому</w:t>
      </w:r>
      <w:proofErr w:type="spellEnd"/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району инспекции Министерства по налогам и сборам по Шкловскому району (с их согласия), Белыничского районного объединения профсоюзов, входящих в Федерацию профсоюзов Беларуси (с их согласия), республиканских государственно-общественных объединений (с их согласия), иных общественных объединений (с их согласия).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10. Персональный состав комиссии утверждается решением райисполкома.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Заседания комиссии считаются правомочными при наличии не менее двух третей ее членов.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13. В протоколе заседания комиссии указываются: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дата и место проведения заседания;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председательствующий на заседании;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голосования и принятые решения.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райисполкоме три года.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17. Исключен.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18. Исключен.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19. После получения доступа к базе данных комиссия организует работу с гражданами, сведения о которых содержатся в ней, в том числе рассматривает их заявления. По результатам </w:t>
      </w: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данной работы формируется список трудоспособных граждан, не занятых в экономике, оплачивающих услуги с возмещением затрат.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20. Сформированный список трудоспособных граждан, не занятых в экономике, оплачивающих услуги с возмещением затрат, до 5-го числа второго месяца каждого квартала направляется для утверждения в райисполком. Утвержденный список не позднее 9-го числа второго месяца каждого квартала направляется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00000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. 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 направляется для утверждения в райисполком. Утвержденный список не позднее 9-го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00000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Включение трудоспособных граждан, не занятых в экономике, в списки за прошлые периоды осуществляется путем формирования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Пересмотренные списки до 1-го числа месяца, следующего за месяцем их формирования, направляются для утверждения в райисполком.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Утвержденные пересмотренные списки до 5-го числа месяца, следующего за месяцем их формирования, направляются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22. По результатам работы комиссия представляет оператору базы данных информацию для корректировки базы данных.</w:t>
      </w:r>
    </w:p>
    <w:p w:rsidR="00000004" w:rsidRPr="00000004" w:rsidRDefault="00000004" w:rsidP="0000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00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D229F1" w:rsidRPr="00000004" w:rsidRDefault="00D229F1">
      <w:pPr>
        <w:rPr>
          <w:lang w:val="ru-RU"/>
        </w:rPr>
      </w:pPr>
      <w:bookmarkStart w:id="0" w:name="_GoBack"/>
      <w:bookmarkEnd w:id="0"/>
    </w:p>
    <w:sectPr w:rsidR="00D229F1" w:rsidRPr="000000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4"/>
    <w:rsid w:val="00000004"/>
    <w:rsid w:val="00D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9BEFB-DEE9-4A79-BBED-A6DA824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000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agree">
    <w:name w:val="agree"/>
    <w:basedOn w:val="a"/>
    <w:rsid w:val="00000004"/>
    <w:pPr>
      <w:spacing w:after="28" w:line="240" w:lineRule="auto"/>
    </w:pPr>
    <w:rPr>
      <w:rFonts w:ascii="Times New Roman" w:eastAsia="Times New Roman" w:hAnsi="Times New Roman" w:cs="Times New Roman"/>
      <w:lang/>
    </w:rPr>
  </w:style>
  <w:style w:type="paragraph" w:customStyle="1" w:styleId="titleu">
    <w:name w:val="titleu"/>
    <w:basedOn w:val="a"/>
    <w:rsid w:val="0000000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point">
    <w:name w:val="point"/>
    <w:basedOn w:val="a"/>
    <w:rsid w:val="000000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reamble">
    <w:name w:val="preamble"/>
    <w:basedOn w:val="a"/>
    <w:rsid w:val="000000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noski">
    <w:name w:val="snoski"/>
    <w:basedOn w:val="a"/>
    <w:rsid w:val="000000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noskiline">
    <w:name w:val="snoskiline"/>
    <w:basedOn w:val="a"/>
    <w:rsid w:val="000000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agreefio">
    <w:name w:val="agreefio"/>
    <w:basedOn w:val="a"/>
    <w:rsid w:val="00000004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/>
    </w:rPr>
  </w:style>
  <w:style w:type="paragraph" w:customStyle="1" w:styleId="agreedate">
    <w:name w:val="agreedate"/>
    <w:basedOn w:val="a"/>
    <w:rsid w:val="00000004"/>
    <w:pPr>
      <w:spacing w:after="0" w:line="240" w:lineRule="auto"/>
      <w:jc w:val="both"/>
    </w:pPr>
    <w:rPr>
      <w:rFonts w:ascii="Times New Roman" w:eastAsia="Times New Roman" w:hAnsi="Times New Roman" w:cs="Times New Roman"/>
      <w:lang/>
    </w:rPr>
  </w:style>
  <w:style w:type="paragraph" w:customStyle="1" w:styleId="changeadd">
    <w:name w:val="changeadd"/>
    <w:basedOn w:val="a"/>
    <w:rsid w:val="0000000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hangei">
    <w:name w:val="changei"/>
    <w:basedOn w:val="a"/>
    <w:rsid w:val="00000004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ap1">
    <w:name w:val="cap1"/>
    <w:basedOn w:val="a"/>
    <w:rsid w:val="00000004"/>
    <w:pPr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customStyle="1" w:styleId="capu1">
    <w:name w:val="capu1"/>
    <w:basedOn w:val="a"/>
    <w:rsid w:val="00000004"/>
    <w:pPr>
      <w:spacing w:after="120" w:line="240" w:lineRule="auto"/>
    </w:pPr>
    <w:rPr>
      <w:rFonts w:ascii="Times New Roman" w:eastAsia="Times New Roman" w:hAnsi="Times New Roman" w:cs="Times New Roman"/>
      <w:lang/>
    </w:rPr>
  </w:style>
  <w:style w:type="paragraph" w:customStyle="1" w:styleId="newncpi">
    <w:name w:val="newncpi"/>
    <w:basedOn w:val="a"/>
    <w:rsid w:val="000000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newncpi0">
    <w:name w:val="newncpi0"/>
    <w:basedOn w:val="a"/>
    <w:rsid w:val="000000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me">
    <w:name w:val="name"/>
    <w:basedOn w:val="a0"/>
    <w:rsid w:val="000000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000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000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000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000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0000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2024-01-23T12:39:00Z</dcterms:created>
  <dcterms:modified xsi:type="dcterms:W3CDTF">2024-01-23T12:41:00Z</dcterms:modified>
</cp:coreProperties>
</file>