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593C47" w:rsidTr="00B9425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47" w:rsidRDefault="00593C47" w:rsidP="0065419C">
            <w:pPr>
              <w:pStyle w:val="cap1"/>
            </w:pPr>
            <w:bookmarkStart w:id="0" w:name="_GoBack"/>
            <w:bookmarkEnd w:id="0"/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93C47" w:rsidRDefault="00593C47" w:rsidP="0065419C">
            <w:pPr>
              <w:pStyle w:val="cap1"/>
            </w:pPr>
          </w:p>
        </w:tc>
      </w:tr>
    </w:tbl>
    <w:p w:rsidR="00593C47" w:rsidRDefault="00593C47" w:rsidP="00593C47">
      <w:pPr>
        <w:pStyle w:val="titleu"/>
      </w:pPr>
      <w:r>
        <w:t>ПЕРЕЧЕНЬ</w:t>
      </w:r>
      <w:r>
        <w:br/>
        <w:t xml:space="preserve">административных процедур, осуществляемых </w:t>
      </w:r>
      <w:proofErr w:type="spellStart"/>
      <w:r>
        <w:t>Мощаницким</w:t>
      </w:r>
      <w:proofErr w:type="spellEnd"/>
      <w:r>
        <w:t xml:space="preserve"> </w:t>
      </w:r>
      <w:proofErr w:type="spellStart"/>
      <w:r>
        <w:t>сельисполкомом</w:t>
      </w:r>
      <w:proofErr w:type="spellEnd"/>
      <w:r>
        <w:t xml:space="preserve"> в отношении субъектов хозяйствования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53"/>
        <w:gridCol w:w="1128"/>
        <w:gridCol w:w="1798"/>
        <w:gridCol w:w="1619"/>
        <w:gridCol w:w="122"/>
        <w:gridCol w:w="1566"/>
      </w:tblGrid>
      <w:tr w:rsidR="00593C47" w:rsidTr="0065419C">
        <w:trPr>
          <w:trHeight w:val="240"/>
        </w:trPr>
        <w:tc>
          <w:tcPr>
            <w:tcW w:w="1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C47" w:rsidRDefault="00593C47" w:rsidP="0065419C">
            <w:pPr>
              <w:pStyle w:val="table10"/>
              <w:jc w:val="center"/>
            </w:pPr>
            <w:r>
              <w:t>Наименование административной 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C47" w:rsidRDefault="00593C47" w:rsidP="0065419C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C47" w:rsidRDefault="00593C47" w:rsidP="0065419C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C47" w:rsidRDefault="00593C47" w:rsidP="0065419C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C47" w:rsidRDefault="00593C47" w:rsidP="0065419C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593C47" w:rsidTr="0065419C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  <w:jc w:val="center"/>
            </w:pPr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593C47" w:rsidTr="0065419C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rPr>
                <w:b/>
                <w:bCs/>
              </w:rPr>
              <w:t> </w:t>
            </w:r>
          </w:p>
        </w:tc>
      </w:tr>
      <w:tr w:rsidR="00593C47" w:rsidTr="0065419C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бесплатно</w:t>
            </w:r>
          </w:p>
        </w:tc>
      </w:tr>
      <w:tr w:rsidR="00593C47" w:rsidTr="0065419C">
        <w:trPr>
          <w:trHeight w:val="240"/>
        </w:trPr>
        <w:tc>
          <w:tcPr>
            <w:tcW w:w="17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C47" w:rsidRDefault="00593C47" w:rsidP="0065419C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593C47" w:rsidRDefault="00593C47" w:rsidP="00593C47">
      <w:pPr>
        <w:pStyle w:val="newncpi"/>
      </w:pPr>
      <w:r>
        <w:t> ______________________________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 xml:space="preserve">1 </w:t>
      </w:r>
      <w:r w:rsidRPr="00922823">
        <w:rPr>
          <w:sz w:val="16"/>
          <w:szCs w:val="16"/>
        </w:rP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Для целей настоящего единого перечня: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внесение изменения – внесение изменения (изменений) и (или) дополнения (дополнений);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lastRenderedPageBreak/>
        <w:t xml:space="preserve">2 </w:t>
      </w:r>
      <w:r w:rsidRPr="00922823">
        <w:rPr>
          <w:sz w:val="16"/>
          <w:szCs w:val="16"/>
        </w:rPr>
        <w:t>За исключением: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 xml:space="preserve">размещаемых в соответствии с утвержденными в установленном порядке градостроительными проектами детального планирования капитальных строений (зданий, сооружений) жилищного и социально-культурного назначения, объектов инженерной инфраструктуры, объектов, </w:t>
      </w:r>
      <w:proofErr w:type="spellStart"/>
      <w:r w:rsidRPr="00922823">
        <w:rPr>
          <w:sz w:val="16"/>
          <w:szCs w:val="16"/>
        </w:rPr>
        <w:t>предпроектная</w:t>
      </w:r>
      <w:proofErr w:type="spellEnd"/>
      <w:r w:rsidRPr="00922823">
        <w:rPr>
          <w:sz w:val="16"/>
          <w:szCs w:val="16"/>
        </w:rPr>
        <w:t xml:space="preserve"> (</w:t>
      </w:r>
      <w:proofErr w:type="spellStart"/>
      <w:r w:rsidRPr="00922823">
        <w:rPr>
          <w:sz w:val="16"/>
          <w:szCs w:val="16"/>
        </w:rPr>
        <w:t>предынвестиционная</w:t>
      </w:r>
      <w:proofErr w:type="spellEnd"/>
      <w:r w:rsidRPr="00922823">
        <w:rPr>
          <w:sz w:val="16"/>
          <w:szCs w:val="16"/>
        </w:rPr>
        <w:t>) документация на которые разрабатывается в форме задания на проектирование, объектов, указанных в пункте 2 статьи 5 Закона Республики Беларусь от 18 июля 2016 г. № 399-З «О государственной экологической экспертизе, стратегической экологической оценке и оценке воздействия на окружающую среду», – в отношении подпункта 3.4.3 пункта 3.4 настоящего единого перечня;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указанных в пункте 2 статьи 5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 – в отношении подпунктов 3.4.4 и 3.4.5 пункта 3.4 настоящего единого перечня.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Перечень объектов, для которых проводится оценка воздействия на окружающую среду, определен в статье 7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>3</w:t>
      </w:r>
      <w:r w:rsidRPr="00922823">
        <w:rPr>
          <w:sz w:val="16"/>
          <w:szCs w:val="16"/>
        </w:rPr>
        <w:t xml:space="preserve"> Под разрешительной и проектной документацией понимаются разрешительная документация, проектная документация, разработанные и утвержденные с учетом установленных законодательством требований к их разработке и утверждению, в том числе требований безопасности и эксплуатационной надежности.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>4</w:t>
      </w:r>
      <w:r w:rsidRPr="00922823">
        <w:rPr>
          <w:sz w:val="16"/>
          <w:szCs w:val="16"/>
        </w:rPr>
        <w:t xml:space="preserve"> За исключением случаев осуществления карантинного фитосанитарного контроля (надзора) в местах прибытия (пограничном пункте по карантину растений) в отношении ввозимой в Республику Беларусь </w:t>
      </w:r>
      <w:proofErr w:type="spellStart"/>
      <w:r w:rsidRPr="00922823">
        <w:rPr>
          <w:sz w:val="16"/>
          <w:szCs w:val="16"/>
        </w:rPr>
        <w:t>подкарантинной</w:t>
      </w:r>
      <w:proofErr w:type="spellEnd"/>
      <w:r w:rsidRPr="00922823">
        <w:rPr>
          <w:sz w:val="16"/>
          <w:szCs w:val="16"/>
        </w:rPr>
        <w:t xml:space="preserve"> продукции, а также осуществления карантинного фитосанитарного контроля (надзора) в местах доставки (назначения) на территории Республики Беларусь в отношении </w:t>
      </w:r>
      <w:proofErr w:type="spellStart"/>
      <w:r w:rsidRPr="00922823">
        <w:rPr>
          <w:sz w:val="16"/>
          <w:szCs w:val="16"/>
        </w:rPr>
        <w:t>подкарантинной</w:t>
      </w:r>
      <w:proofErr w:type="spellEnd"/>
      <w:r w:rsidRPr="00922823">
        <w:rPr>
          <w:sz w:val="16"/>
          <w:szCs w:val="16"/>
        </w:rPr>
        <w:t xml:space="preserve"> продукции, поступающей из государств – членов Евразийского экономического союза.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 xml:space="preserve">5 </w:t>
      </w:r>
      <w:r w:rsidRPr="00922823">
        <w:rPr>
          <w:sz w:val="16"/>
          <w:szCs w:val="16"/>
        </w:rPr>
        <w:t>За исключением случаев, предусмотренных в пункте 4 статьи 214 Кодекса Республики Беларусь о культуре.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 xml:space="preserve">6 </w:t>
      </w:r>
      <w:r w:rsidRPr="00922823">
        <w:rPr>
          <w:sz w:val="16"/>
          <w:szCs w:val="16"/>
        </w:rPr>
        <w:t>За исключением случаев размещения заказов на производство (приобретение непосредственно у их изготовителя) специальных материалов: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>7</w:t>
      </w:r>
      <w:r w:rsidRPr="00922823">
        <w:rPr>
          <w:sz w:val="16"/>
          <w:szCs w:val="16"/>
        </w:rPr>
        <w:t xml:space="preserve"> За исключением потенциально опасных объектов или технических устройств,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593C47" w:rsidRPr="00922823" w:rsidRDefault="00593C47" w:rsidP="00593C47">
      <w:pPr>
        <w:pStyle w:val="snoski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  <w:vertAlign w:val="superscript"/>
        </w:rPr>
        <w:t>8</w:t>
      </w:r>
      <w:r w:rsidRPr="00922823">
        <w:rPr>
          <w:sz w:val="16"/>
          <w:szCs w:val="16"/>
        </w:rPr>
        <w:t xml:space="preserve"> За исключением объектов перевозки опасных грузов,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593C47" w:rsidRPr="00922823" w:rsidRDefault="00593C47" w:rsidP="00593C47">
      <w:pPr>
        <w:pStyle w:val="comment"/>
        <w:spacing w:line="200" w:lineRule="exact"/>
        <w:rPr>
          <w:sz w:val="16"/>
          <w:szCs w:val="16"/>
        </w:rPr>
      </w:pPr>
      <w:r w:rsidRPr="00922823">
        <w:rPr>
          <w:sz w:val="16"/>
          <w:szCs w:val="16"/>
        </w:rPr>
        <w:t>Примечание. При обращении за осуществлением административных процедур, указанных в подпункте 13.3 пункта 13 настоящего единого перечня, заинтересованным лицом является учредитель (учредители) средства массовой информации, в том числе физическое лицо.</w:t>
      </w:r>
    </w:p>
    <w:p w:rsidR="00593C47" w:rsidRDefault="00593C47" w:rsidP="00593C47">
      <w:pPr>
        <w:pStyle w:val="newncpi"/>
        <w:spacing w:line="200" w:lineRule="exact"/>
      </w:pPr>
      <w:r>
        <w:t> </w:t>
      </w:r>
    </w:p>
    <w:p w:rsidR="00885D19" w:rsidRDefault="00885D19"/>
    <w:sectPr w:rsidR="0088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F5"/>
    <w:rsid w:val="00593C47"/>
    <w:rsid w:val="005E6DF5"/>
    <w:rsid w:val="00885D19"/>
    <w:rsid w:val="00911ABF"/>
    <w:rsid w:val="00B9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4D6E-6F6A-4CE0-ACFB-100D4A1C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93C4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93C4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593C4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93C4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93C4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93C4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593C4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6</cp:revision>
  <cp:lastPrinted>2022-08-08T13:23:00Z</cp:lastPrinted>
  <dcterms:created xsi:type="dcterms:W3CDTF">2022-08-05T11:13:00Z</dcterms:created>
  <dcterms:modified xsi:type="dcterms:W3CDTF">2024-04-23T07:21:00Z</dcterms:modified>
</cp:coreProperties>
</file>